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2D2914" w:rsidRPr="006D2855" w:rsidTr="001563C0">
        <w:tc>
          <w:tcPr>
            <w:tcW w:w="195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Specjalność:</w:t>
            </w:r>
          </w:p>
        </w:tc>
        <w:tc>
          <w:tcPr>
            <w:tcW w:w="711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Analiza danych</w:t>
            </w:r>
          </w:p>
        </w:tc>
      </w:tr>
      <w:tr w:rsidR="002D2914" w:rsidRPr="006D2855" w:rsidTr="001563C0">
        <w:tc>
          <w:tcPr>
            <w:tcW w:w="195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Kierunek:</w:t>
            </w:r>
          </w:p>
        </w:tc>
        <w:tc>
          <w:tcPr>
            <w:tcW w:w="711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</w:tr>
      <w:tr w:rsidR="002D2914" w:rsidRPr="006D2855" w:rsidTr="001563C0">
        <w:tc>
          <w:tcPr>
            <w:tcW w:w="195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Poziom kształcenia:</w:t>
            </w:r>
          </w:p>
        </w:tc>
        <w:tc>
          <w:tcPr>
            <w:tcW w:w="711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studia I stopnia (licencjackie)</w:t>
            </w:r>
          </w:p>
        </w:tc>
      </w:tr>
      <w:tr w:rsidR="002D2914" w:rsidRPr="006D2855" w:rsidTr="001563C0">
        <w:tc>
          <w:tcPr>
            <w:tcW w:w="195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Profil:</w:t>
            </w:r>
          </w:p>
        </w:tc>
        <w:tc>
          <w:tcPr>
            <w:tcW w:w="711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praktyczny</w:t>
            </w:r>
          </w:p>
        </w:tc>
      </w:tr>
      <w:tr w:rsidR="002D2914" w:rsidRPr="006D2855" w:rsidTr="001563C0">
        <w:tc>
          <w:tcPr>
            <w:tcW w:w="195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Forma studiów:</w:t>
            </w:r>
          </w:p>
        </w:tc>
        <w:tc>
          <w:tcPr>
            <w:tcW w:w="711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stacjonarne, niestacjonarne</w:t>
            </w:r>
          </w:p>
        </w:tc>
      </w:tr>
      <w:tr w:rsidR="002D2914" w:rsidRPr="006D2855" w:rsidTr="001563C0">
        <w:tc>
          <w:tcPr>
            <w:tcW w:w="1951" w:type="dxa"/>
          </w:tcPr>
          <w:p w:rsidR="002D2914" w:rsidRPr="006D2855" w:rsidRDefault="002D2914" w:rsidP="002D291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2855">
              <w:rPr>
                <w:rFonts w:ascii="Times New Roman" w:hAnsi="Times New Roman" w:cs="Times New Roman"/>
                <w:sz w:val="21"/>
                <w:szCs w:val="21"/>
              </w:rPr>
              <w:t>Opis specjalności:</w:t>
            </w:r>
          </w:p>
        </w:tc>
        <w:tc>
          <w:tcPr>
            <w:tcW w:w="7111" w:type="dxa"/>
          </w:tcPr>
          <w:p w:rsidR="00763D79" w:rsidRPr="006D2855" w:rsidRDefault="00763D79" w:rsidP="00553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6D2855">
              <w:rPr>
                <w:sz w:val="21"/>
                <w:szCs w:val="21"/>
              </w:rPr>
              <w:t>Specjalność analiza danych jest skierowana do studentów zainteresowanych wykorzystaniem wiedzy z zakresu matematyki oraz narzędzi statystycznych i informatycznych w pracy zawodowej związanej z gromadzeniem, przetwarzaniem oraz analizą danych. </w:t>
            </w:r>
          </w:p>
          <w:p w:rsidR="003353C7" w:rsidRPr="006D2855" w:rsidRDefault="003353C7" w:rsidP="00553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6D2855">
              <w:rPr>
                <w:sz w:val="21"/>
                <w:szCs w:val="21"/>
              </w:rPr>
              <w:t xml:space="preserve">Kształcenie na kierunku matematyka w ramach specjalności Analiza danych w zakresie przedmiotów specjalizacyjnych rozpoczyna się już </w:t>
            </w:r>
            <w:r w:rsidR="00BB4234" w:rsidRPr="006D2855">
              <w:rPr>
                <w:sz w:val="21"/>
                <w:szCs w:val="21"/>
              </w:rPr>
              <w:t>po</w:t>
            </w:r>
            <w:r w:rsidRPr="006D2855">
              <w:rPr>
                <w:sz w:val="21"/>
                <w:szCs w:val="21"/>
              </w:rPr>
              <w:t xml:space="preserve"> </w:t>
            </w:r>
            <w:r w:rsidR="00BB4234" w:rsidRPr="006D2855">
              <w:rPr>
                <w:sz w:val="21"/>
                <w:szCs w:val="21"/>
              </w:rPr>
              <w:t>drugim</w:t>
            </w:r>
            <w:r w:rsidRPr="006D2855">
              <w:rPr>
                <w:sz w:val="21"/>
                <w:szCs w:val="21"/>
              </w:rPr>
              <w:t xml:space="preserve"> semestr</w:t>
            </w:r>
            <w:r w:rsidR="00BB4234" w:rsidRPr="006D2855">
              <w:rPr>
                <w:sz w:val="21"/>
                <w:szCs w:val="21"/>
              </w:rPr>
              <w:t>ze</w:t>
            </w:r>
            <w:r w:rsidRPr="006D2855">
              <w:rPr>
                <w:sz w:val="21"/>
                <w:szCs w:val="21"/>
              </w:rPr>
              <w:t xml:space="preserve"> studiów i obejmuje między innymi takie przedmioty, jak: wprowadzenie do analizy danych; matematyczne wspomaganie decyzji; analiza danych z arkuszem kalkulacyjnym; użytkowanie baz danych; statystyka matematyczna; analiza danych w programie R. Ważnym elementem w procesie kształcenia są 3-miesięczne praktyki zawodowe.</w:t>
            </w:r>
          </w:p>
          <w:p w:rsidR="00553CEA" w:rsidRPr="006D2855" w:rsidRDefault="00553CEA" w:rsidP="00553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6D2855">
              <w:rPr>
                <w:sz w:val="21"/>
                <w:szCs w:val="21"/>
              </w:rPr>
              <w:t>Celem kształcenia na studiach I stopnia o profilu praktycznym na specjalności Analiza danych na kierunku Matematyka jest przygotowanie specjalistów posiadających wiedzę i umiejętności z zakresu matematyki i jej zastosowań. W toku studiów student poznaje podstawowe struktury matematyczne oraz metody stosowane w analizie problemów matematycznych. </w:t>
            </w:r>
          </w:p>
          <w:p w:rsidR="00553CEA" w:rsidRPr="006D2855" w:rsidRDefault="00553CEA" w:rsidP="00553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6D2855">
              <w:rPr>
                <w:sz w:val="21"/>
                <w:szCs w:val="21"/>
              </w:rPr>
              <w:t>Ponadto, student poznaje fundamentalne narzędzia, jakimi posługuje się współczesna matematyka. </w:t>
            </w:r>
          </w:p>
          <w:p w:rsidR="00553CEA" w:rsidRPr="006D2855" w:rsidRDefault="00553CEA" w:rsidP="00553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6D2855">
              <w:rPr>
                <w:sz w:val="21"/>
                <w:szCs w:val="21"/>
              </w:rPr>
              <w:t xml:space="preserve">Pobocznymi celami kształcenia są m.in. rozwój osobowości, umiejętność współdziałania w grupie w celu rozwiązania wspólnego problemu oraz przygotowanie do dalszych studiów. </w:t>
            </w:r>
          </w:p>
          <w:p w:rsidR="001563C0" w:rsidRPr="006D2855" w:rsidRDefault="00553CEA" w:rsidP="00553CE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6D2855">
              <w:rPr>
                <w:sz w:val="21"/>
                <w:szCs w:val="21"/>
              </w:rPr>
              <w:t xml:space="preserve">Absolwent specjalności analiza danych </w:t>
            </w:r>
            <w:r w:rsidR="000D384B" w:rsidRPr="006D2855">
              <w:rPr>
                <w:sz w:val="21"/>
                <w:szCs w:val="21"/>
              </w:rPr>
              <w:t>posiada wiedzę oraz umiejętności praktyczne dotyczące analizy danych: gromadzenia danych, matematycznych metod ich opracowywania oraz wnioskowania na ich podstawie, dzięki czemu jest</w:t>
            </w:r>
            <w:r w:rsidRPr="006D2855">
              <w:rPr>
                <w:sz w:val="21"/>
                <w:szCs w:val="21"/>
              </w:rPr>
              <w:t xml:space="preserve"> przygotowany do wykonywania zawodu analityka, tak bardzo poszukiwanego we wszystkich podmiotach gospodarczych. </w:t>
            </w:r>
            <w:r w:rsidR="001563C0" w:rsidRPr="006D2855">
              <w:rPr>
                <w:sz w:val="21"/>
                <w:szCs w:val="21"/>
              </w:rPr>
              <w:t>Absolwent tej specjalności będzie potrafił: pobierać i łączyć dane z różnych źródeł, wykorzystując aparat matematyczny oraz narzędzia dedykowane statystyce, potrafi opracować posiadane dane, a także prezentować wyniki analizy. Absolwent specjalności analiza danych jest przygotowany do pracy w instytucjach administracji samorządowej, w ośrodkach zajmujących się badaniem opinii społecznej a także w podmiotach gospodarczych jako analitycy zajmujący się analizami rynkowymi, analizami finansowymi, sprzedażą, planowaniem, relacjami z klientem.</w:t>
            </w:r>
          </w:p>
          <w:p w:rsidR="002D2914" w:rsidRPr="006D2855" w:rsidRDefault="00553CEA" w:rsidP="001563C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6D2855">
              <w:rPr>
                <w:sz w:val="21"/>
                <w:szCs w:val="21"/>
              </w:rPr>
              <w:t>Dzięki realizacji profilu praktycznego na kierunku matematyka, studenci te</w:t>
            </w:r>
            <w:r w:rsidR="000D384B" w:rsidRPr="006D2855">
              <w:rPr>
                <w:sz w:val="21"/>
                <w:szCs w:val="21"/>
              </w:rPr>
              <w:t>j</w:t>
            </w:r>
            <w:r w:rsidRPr="006D2855">
              <w:rPr>
                <w:sz w:val="21"/>
                <w:szCs w:val="21"/>
              </w:rPr>
              <w:t xml:space="preserve"> </w:t>
            </w:r>
            <w:r w:rsidR="000D384B" w:rsidRPr="006D2855">
              <w:rPr>
                <w:sz w:val="21"/>
                <w:szCs w:val="21"/>
              </w:rPr>
              <w:t>specjalności</w:t>
            </w:r>
            <w:r w:rsidRPr="006D2855">
              <w:rPr>
                <w:sz w:val="21"/>
                <w:szCs w:val="21"/>
              </w:rPr>
              <w:t xml:space="preserve"> zdobędą w toku studiów większe doświadczenie praktyczne i będą lepiej przygotowani do podjęcia przyszłej pracy. </w:t>
            </w:r>
          </w:p>
        </w:tc>
      </w:tr>
      <w:tr w:rsidR="005C70A6" w:rsidRPr="006D2855" w:rsidTr="001563C0">
        <w:tc>
          <w:tcPr>
            <w:tcW w:w="1951" w:type="dxa"/>
          </w:tcPr>
          <w:p w:rsidR="005C70A6" w:rsidRDefault="00D364ED" w:rsidP="00D364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kontaktowe:</w:t>
            </w:r>
          </w:p>
        </w:tc>
        <w:tc>
          <w:tcPr>
            <w:tcW w:w="7111" w:type="dxa"/>
          </w:tcPr>
          <w:p w:rsidR="005C70A6" w:rsidRDefault="005C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Nauk Ścisłych, Przyrodniczych i Technicznych </w:t>
            </w:r>
          </w:p>
          <w:p w:rsidR="005C70A6" w:rsidRDefault="005C70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al. Armii Krajowej 13/15 42-200 Częstochowa </w:t>
            </w:r>
          </w:p>
          <w:p w:rsidR="005C70A6" w:rsidRPr="00585B43" w:rsidRDefault="005C70A6">
            <w:pPr>
              <w:jc w:val="both"/>
              <w:rPr>
                <w:rFonts w:ascii="Times New Roman" w:hAnsi="Times New Roman" w:cs="Times New Roman"/>
              </w:rPr>
            </w:pPr>
            <w:r w:rsidRPr="00585B43">
              <w:rPr>
                <w:rFonts w:ascii="Times New Roman" w:hAnsi="Times New Roman" w:cs="Times New Roman"/>
              </w:rPr>
              <w:t>e-mail: wnspt@ujd.edu.pl</w:t>
            </w:r>
          </w:p>
          <w:p w:rsidR="005C70A6" w:rsidRDefault="005C70A6">
            <w:pPr>
              <w:jc w:val="both"/>
            </w:pPr>
            <w:r>
              <w:rPr>
                <w:rFonts w:ascii="Times New Roman" w:hAnsi="Times New Roman" w:cs="Times New Roman"/>
              </w:rPr>
              <w:t>tel: 34 361 21 79 lub 34 361 49 18</w:t>
            </w:r>
          </w:p>
          <w:p w:rsidR="005C70A6" w:rsidRDefault="00D364ED">
            <w:pPr>
              <w:jc w:val="both"/>
              <w:rPr>
                <w:rFonts w:ascii="Times New Roman" w:hAnsi="Times New Roman" w:cs="Times New Roman"/>
              </w:rPr>
            </w:pPr>
            <w:hyperlink r:id="rId5" w:tgtFrame="_blank" w:history="1">
              <w:r w:rsidRPr="00D364ED">
                <w:rPr>
                  <w:rFonts w:ascii="Times New Roman" w:hAnsi="Times New Roman" w:cs="Times New Roman"/>
                </w:rPr>
                <w:t>http://www.kmi.ujd.edu.pl/matematyka/</w:t>
              </w:r>
            </w:hyperlink>
            <w:r w:rsidR="00585B4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Katedra Matematyki i Informatyki</w:t>
            </w:r>
            <w:r w:rsidR="00585B43">
              <w:rPr>
                <w:rFonts w:ascii="Times New Roman" w:hAnsi="Times New Roman" w:cs="Times New Roman"/>
              </w:rPr>
              <w:t>)</w:t>
            </w:r>
          </w:p>
        </w:tc>
      </w:tr>
    </w:tbl>
    <w:p w:rsidR="00F14F57" w:rsidRPr="005C70A6" w:rsidRDefault="00F14F57" w:rsidP="002D2914">
      <w:pPr>
        <w:jc w:val="both"/>
        <w:rPr>
          <w:rFonts w:ascii="Times New Roman" w:hAnsi="Times New Roman" w:cs="Times New Roman"/>
        </w:rPr>
      </w:pPr>
    </w:p>
    <w:sectPr w:rsidR="00F14F57" w:rsidRPr="005C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4"/>
    <w:rsid w:val="000D384B"/>
    <w:rsid w:val="001563C0"/>
    <w:rsid w:val="002D2914"/>
    <w:rsid w:val="003353C7"/>
    <w:rsid w:val="00553CEA"/>
    <w:rsid w:val="00585B43"/>
    <w:rsid w:val="005C70A6"/>
    <w:rsid w:val="006D2855"/>
    <w:rsid w:val="00763D79"/>
    <w:rsid w:val="0081335C"/>
    <w:rsid w:val="00BB4234"/>
    <w:rsid w:val="00C63B49"/>
    <w:rsid w:val="00D364ED"/>
    <w:rsid w:val="00D80080"/>
    <w:rsid w:val="00F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5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3CEA"/>
  </w:style>
  <w:style w:type="character" w:customStyle="1" w:styleId="eop">
    <w:name w:val="eop"/>
    <w:basedOn w:val="Domylnaczcionkaakapitu"/>
    <w:rsid w:val="00553CEA"/>
  </w:style>
  <w:style w:type="character" w:styleId="Hipercze">
    <w:name w:val="Hyperlink"/>
    <w:basedOn w:val="Domylnaczcionkaakapitu"/>
    <w:uiPriority w:val="99"/>
    <w:unhideWhenUsed/>
    <w:rsid w:val="00D80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5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3CEA"/>
  </w:style>
  <w:style w:type="character" w:customStyle="1" w:styleId="eop">
    <w:name w:val="eop"/>
    <w:basedOn w:val="Domylnaczcionkaakapitu"/>
    <w:rsid w:val="00553CEA"/>
  </w:style>
  <w:style w:type="character" w:styleId="Hipercze">
    <w:name w:val="Hyperlink"/>
    <w:basedOn w:val="Domylnaczcionkaakapitu"/>
    <w:uiPriority w:val="99"/>
    <w:unhideWhenUsed/>
    <w:rsid w:val="00D80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i.ujd.edu.pl/matematy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celcat</cp:lastModifiedBy>
  <cp:revision>2</cp:revision>
  <dcterms:created xsi:type="dcterms:W3CDTF">2024-01-26T08:41:00Z</dcterms:created>
  <dcterms:modified xsi:type="dcterms:W3CDTF">2024-01-26T08:41:00Z</dcterms:modified>
</cp:coreProperties>
</file>